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bookmarkStart w:id="7" w:name="_GoBack"/>
      <w:bookmarkEnd w:id="7"/>
      <w:r>
        <w:rPr>
          <w:rFonts w:hint="eastAsia" w:ascii="Arial" w:hAnsi="Arial" w:eastAsia="宋体" w:cs="Arial"/>
          <w:i/>
          <w:sz w:val="22"/>
          <w:szCs w:val="22"/>
          <w:highlight w:val="none"/>
          <w:lang w:val="en-US" w:eastAsia="zh-CN"/>
        </w:rPr>
        <w:t>.</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2" w:name="_Toc360202470"/>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ith positioning</w:t>
      </w:r>
      <w:r>
        <w:t xml:space="preserve"> module</w:t>
      </w:r>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positioning module,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This positioning module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3" w:name="_Toc360202471"/>
      <w:bookmarkStart w:id="4"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3"/>
    </w:p>
    <w:bookmarkEnd w:id="4"/>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billing node get his trip from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system, and deducts the corresponding fee from the Tom’s account. </w:t>
      </w:r>
    </w:p>
    <w:p>
      <w:pPr>
        <w:pStyle w:val="26"/>
        <w:numPr>
          <w:ilvl w:val="0"/>
          <w:numId w:val="2"/>
        </w:numPr>
        <w:ind w:firstLineChars="0"/>
        <w:rPr>
          <w:rFonts w:ascii="Times New Roman" w:hAnsi="Times New Roman" w:eastAsiaTheme="minorEastAsia"/>
          <w:sz w:val="20"/>
          <w:szCs w:val="20"/>
        </w:rPr>
      </w:pPr>
      <w:r>
        <w:rPr>
          <w:rFonts w:ascii="Times New Roman" w:hAnsi="Times New Roman" w:eastAsiaTheme="minorEastAsia"/>
          <w:sz w:val="20"/>
          <w:szCs w:val="20"/>
        </w:rPr>
        <w:t>If the deduction is successful, the procedure ends.</w:t>
      </w:r>
    </w:p>
    <w:p>
      <w:pPr>
        <w:pStyle w:val="26"/>
        <w:numPr>
          <w:ilvl w:val="0"/>
          <w:numId w:val="2"/>
        </w:numPr>
        <w:ind w:firstLineChars="0"/>
        <w:rPr>
          <w:rFonts w:eastAsiaTheme="minorEastAsia"/>
        </w:rPr>
      </w:pPr>
      <w:r>
        <w:rPr>
          <w:rFonts w:ascii="Times New Roman" w:hAnsi="Times New Roman" w:eastAsiaTheme="minorEastAsia"/>
          <w:sz w:val="20"/>
          <w:szCs w:val="20"/>
        </w:rPr>
        <w:t xml:space="preserve">If the deduction is unsuccessful, the hands free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/bus validation function will be suspended. Tom needs to manually complete the payment on the APP to</w:t>
      </w:r>
      <w:r>
        <w:rPr>
          <w:rFonts w:ascii="Times New Roman" w:hAnsi="Times New Roman"/>
          <w:sz w:val="20"/>
          <w:szCs w:val="20"/>
        </w:rPr>
        <w:t xml:space="preserve"> </w:t>
      </w:r>
      <w:r>
        <w:rPr>
          <w:rFonts w:ascii="Times New Roman" w:hAnsi="Times New Roman" w:eastAsiaTheme="minorEastAsia"/>
          <w:sz w:val="20"/>
          <w:szCs w:val="20"/>
        </w:rPr>
        <w:t>re-enable the function.</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5"/>
    </w:p>
    <w:p>
      <w:pPr>
        <w:rPr>
          <w:rFonts w:eastAsia="宋体"/>
          <w:lang w:val="en-US" w:eastAsia="zh-CN"/>
        </w:rPr>
      </w:pPr>
      <w:r>
        <w:rPr>
          <w:rFonts w:eastAsia="宋体"/>
          <w:lang w:val="en-US" w:eastAsia="zh-CN"/>
        </w:rP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6"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6"/>
      <w:r>
        <w:rPr>
          <w:rFonts w:ascii="Arial" w:hAnsi="Arial" w:eastAsia="宋体" w:cs="Times New Roman"/>
          <w:color w:val="auto"/>
          <w:sz w:val="28"/>
          <w:szCs w:val="21"/>
          <w:lang w:val="en-GB" w:eastAsia="en-US" w:bidi="ar-SA"/>
        </w:rPr>
        <w:t>Potential New Requirements needed to support the use case</w:t>
      </w:r>
    </w:p>
    <w:p>
      <w:r>
        <w:t xml:space="preserve">The </w:t>
      </w:r>
      <w:r>
        <w:rPr>
          <w:rFonts w:hint="eastAsia"/>
          <w:lang w:val="en-US" w:eastAsia="zh-CN"/>
        </w:rPr>
        <w:t>5G system shall be able to</w:t>
      </w:r>
      <w:r>
        <w:t xml:space="preserve"> enable or disable the </w:t>
      </w:r>
      <w:r>
        <w:rPr>
          <w:rFonts w:hint="eastAsia"/>
          <w:lang w:val="en-US" w:eastAsia="zh-CN"/>
        </w:rPr>
        <w:t>Ranging</w:t>
      </w:r>
      <w:r>
        <w:t xml:space="preserve"> feature in </w:t>
      </w:r>
      <w:r>
        <w:rPr>
          <w:rFonts w:hint="eastAsia"/>
          <w:lang w:val="en-US" w:eastAsia="zh-CN"/>
        </w:rPr>
        <w:t xml:space="preserve">operator </w:t>
      </w:r>
      <w:r>
        <w:t>network.</w:t>
      </w:r>
    </w:p>
    <w:p>
      <w:pPr>
        <w:rPr>
          <w:rFonts w:hint="eastAsia"/>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operations for each individual UE</w:t>
      </w:r>
      <w:r>
        <w:rPr>
          <w:rFonts w:hint="eastAsia"/>
          <w:lang w:val="en-US" w:eastAsia="zh-CN"/>
        </w:rPr>
        <w:t>.</w:t>
      </w:r>
    </w:p>
    <w:p>
      <w:pPr>
        <w:rPr>
          <w:rFonts w:hint="eastAsia"/>
          <w:lang w:val="en-US" w:eastAsia="zh-CN"/>
        </w:rPr>
      </w:pPr>
      <w:r>
        <w:rPr>
          <w:rFonts w:hint="eastAsia"/>
          <w:lang w:val="en-US" w:eastAsia="zh-CN"/>
        </w:rPr>
        <w:t>The 5G system shall be able to authorize Ranging</w:t>
      </w:r>
      <w:r>
        <w:t xml:space="preserve"> operations</w:t>
      </w:r>
      <w:r>
        <w:rPr>
          <w:rFonts w:hint="eastAsia"/>
          <w:lang w:val="en-US" w:eastAsia="zh-CN"/>
        </w:rPr>
        <w:t xml:space="preserve"> for UE  outside of 5G coverage.</w:t>
      </w:r>
    </w:p>
    <w:p>
      <w:r>
        <w:t>The</w:t>
      </w:r>
      <w:r>
        <w:rPr>
          <w:rFonts w:hint="eastAsia"/>
          <w:lang w:val="en-US" w:eastAsia="zh-CN"/>
        </w:rPr>
        <w:t xml:space="preserve"> 5G</w:t>
      </w:r>
      <w:r>
        <w:t xml:space="preserve"> system shall ensure the user’s identity and privacy are protected when </w:t>
      </w:r>
      <w:r>
        <w:rPr>
          <w:rFonts w:hint="eastAsia"/>
          <w:lang w:val="en-US" w:eastAsia="zh-CN"/>
        </w:rPr>
        <w:t xml:space="preserve">Ranging </w:t>
      </w:r>
      <w:r>
        <w:t>is used.</w:t>
      </w:r>
    </w:p>
    <w:p>
      <w:pPr>
        <w:rPr>
          <w:rFonts w:hint="eastAsia"/>
          <w:lang w:val="en-US" w:eastAsia="zh-CN"/>
        </w:rPr>
      </w:pPr>
      <w:r>
        <w:rPr>
          <w:rFonts w:hint="eastAsia"/>
          <w:lang w:val="en-US" w:eastAsia="zh-CN"/>
        </w:rPr>
        <w:t>The 5G system shall be able to support secure Ranging between UEs.</w:t>
      </w:r>
    </w:p>
    <w:p>
      <w:pPr>
        <w:rPr>
          <w:rFonts w:hint="eastAsia"/>
          <w:lang w:val="en-US" w:eastAsia="zh-CN"/>
        </w:rPr>
      </w:pPr>
      <w:r>
        <w:rPr>
          <w:rFonts w:hint="eastAsia"/>
          <w:lang w:val="en-US" w:eastAsia="zh-CN"/>
        </w:rPr>
        <w:t>The 5G system shall be able to support 200 concurrent Ranging procedures.</w:t>
      </w:r>
    </w:p>
    <w:p>
      <w:pPr>
        <w:rPr>
          <w:rFonts w:hint="default"/>
          <w:lang w:val="en-US" w:eastAsia="zh-CN"/>
        </w:rPr>
      </w:pPr>
      <w:r>
        <w:t xml:space="preserve">The </w:t>
      </w:r>
      <w:r>
        <w:rPr>
          <w:rFonts w:hint="eastAsia" w:eastAsia="宋体"/>
          <w:lang w:val="en-US" w:eastAsia="zh-CN"/>
        </w:rPr>
        <w:t>R</w:t>
      </w:r>
      <w:r>
        <w:t>anging</w:t>
      </w:r>
      <w:r>
        <w:rPr>
          <w:rFonts w:hint="eastAsia"/>
          <w:lang w:val="en-US" w:eastAsia="zh-CN"/>
        </w:rPr>
        <w:t xml:space="preserve"> capable UE shall be able to perform Ranging with 20 UEs simultaneously.</w:t>
      </w:r>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45"/>
        <w:gridCol w:w="955"/>
        <w:gridCol w:w="1104"/>
        <w:gridCol w:w="1432"/>
        <w:gridCol w:w="1363"/>
        <w:gridCol w:w="1418"/>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007"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45" w:type="dxa"/>
            <w:vAlign w:val="center"/>
          </w:tcPr>
          <w:p>
            <w:pPr>
              <w:jc w:val="center"/>
              <w:rPr>
                <w:rFonts w:hint="eastAsia"/>
                <w:b/>
                <w:bCs/>
                <w:kern w:val="2"/>
                <w:sz w:val="20"/>
                <w:szCs w:val="20"/>
                <w:lang w:val="en-US" w:eastAsia="zh-CN"/>
              </w:rPr>
            </w:pPr>
            <w:r>
              <w:rPr>
                <w:rFonts w:hint="eastAsia"/>
                <w:b/>
                <w:bCs/>
                <w:kern w:val="2"/>
                <w:sz w:val="20"/>
                <w:szCs w:val="20"/>
                <w:lang w:val="en-US" w:eastAsia="zh-CN"/>
              </w:rPr>
              <w:t>Distance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955" w:type="dxa"/>
            <w:vAlign w:val="center"/>
          </w:tcPr>
          <w:p>
            <w:pPr>
              <w:jc w:val="center"/>
              <w:rPr>
                <w:rFonts w:hint="eastAsia"/>
                <w:b/>
                <w:bCs/>
                <w:kern w:val="2"/>
                <w:sz w:val="20"/>
                <w:szCs w:val="20"/>
                <w:lang w:val="en-US" w:eastAsia="zh-CN"/>
              </w:rPr>
            </w:pPr>
            <w:r>
              <w:rPr>
                <w:rFonts w:hint="eastAsia"/>
                <w:b/>
                <w:bCs/>
                <w:kern w:val="2"/>
                <w:sz w:val="20"/>
                <w:szCs w:val="20"/>
                <w:lang w:val="en-US" w:eastAsia="zh-CN"/>
              </w:rPr>
              <w:t>Payload</w:t>
            </w:r>
          </w:p>
          <w:p>
            <w:pPr>
              <w:jc w:val="center"/>
              <w:rPr>
                <w:rFonts w:hint="default"/>
                <w:b/>
                <w:bCs/>
                <w:kern w:val="2"/>
                <w:sz w:val="20"/>
                <w:szCs w:val="20"/>
                <w:lang w:val="en-US" w:eastAsia="zh-CN"/>
              </w:rPr>
            </w:pPr>
            <w:r>
              <w:rPr>
                <w:rFonts w:hint="eastAsia"/>
                <w:b/>
                <w:bCs/>
                <w:kern w:val="2"/>
                <w:sz w:val="20"/>
                <w:szCs w:val="20"/>
                <w:lang w:val="en-US" w:eastAsia="zh-CN"/>
              </w:rPr>
              <w:t>(Bytes)</w:t>
            </w:r>
          </w:p>
        </w:tc>
        <w:tc>
          <w:tcPr>
            <w:tcW w:w="1104" w:type="dxa"/>
            <w:vAlign w:val="center"/>
          </w:tcPr>
          <w:p>
            <w:pPr>
              <w:jc w:val="center"/>
              <w:rPr>
                <w:rFonts w:hint="eastAsia"/>
                <w:b/>
                <w:bCs/>
                <w:kern w:val="2"/>
                <w:sz w:val="20"/>
                <w:szCs w:val="20"/>
                <w:lang w:val="en-US" w:eastAsia="zh-CN"/>
              </w:rPr>
            </w:pPr>
            <w:r>
              <w:rPr>
                <w:rFonts w:hint="eastAsia"/>
                <w:b/>
                <w:bCs/>
                <w:kern w:val="2"/>
                <w:sz w:val="20"/>
                <w:szCs w:val="20"/>
                <w:lang w:val="en-US" w:eastAsia="zh-CN"/>
              </w:rPr>
              <w:t>Tx rate</w:t>
            </w:r>
          </w:p>
          <w:p>
            <w:pPr>
              <w:jc w:val="center"/>
              <w:rPr>
                <w:rFonts w:hint="default"/>
                <w:b/>
                <w:bCs/>
                <w:kern w:val="2"/>
                <w:sz w:val="20"/>
                <w:szCs w:val="20"/>
                <w:lang w:val="en-US" w:eastAsia="zh-CN"/>
              </w:rPr>
            </w:pPr>
            <w:r>
              <w:rPr>
                <w:rFonts w:hint="eastAsia"/>
                <w:b/>
                <w:bCs/>
                <w:kern w:val="2"/>
                <w:sz w:val="20"/>
                <w:szCs w:val="20"/>
                <w:lang w:val="en-US" w:eastAsia="zh-CN"/>
              </w:rPr>
              <w:t>(Message/Sec)</w:t>
            </w:r>
          </w:p>
        </w:tc>
        <w:tc>
          <w:tcPr>
            <w:tcW w:w="1432" w:type="dxa"/>
            <w:vAlign w:val="center"/>
          </w:tcPr>
          <w:p>
            <w:pPr>
              <w:jc w:val="center"/>
              <w:rPr>
                <w:b/>
                <w:bCs/>
                <w:kern w:val="2"/>
                <w:sz w:val="20"/>
                <w:szCs w:val="20"/>
              </w:rPr>
            </w:pPr>
            <w:r>
              <w:rPr>
                <w:rFonts w:hint="eastAsia" w:eastAsia="宋体"/>
                <w:b/>
                <w:bCs/>
                <w:kern w:val="2"/>
                <w:sz w:val="20"/>
                <w:szCs w:val="20"/>
                <w:lang w:val="en-US" w:eastAsia="zh-CN"/>
              </w:rPr>
              <w:t>Max end to end l</w:t>
            </w:r>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418" w:type="dxa"/>
            <w:vAlign w:val="center"/>
          </w:tcPr>
          <w:p>
            <w:pPr>
              <w:jc w:val="center"/>
              <w:rPr>
                <w:rFonts w:ascii="Times New Roman" w:hAnsi="Times New Roman" w:eastAsia="Times New Roman" w:cs="Times New Roman"/>
                <w:b/>
                <w:bCs/>
                <w:kern w:val="2"/>
                <w:sz w:val="20"/>
                <w:szCs w:val="20"/>
                <w:lang w:val="en-GB" w:eastAsia="zh-CN" w:bidi="ar-SA"/>
              </w:rPr>
            </w:pPr>
            <w:r>
              <w:rPr>
                <w:rFonts w:hint="eastAsia"/>
                <w:b/>
                <w:bCs/>
                <w:kern w:val="2"/>
                <w:sz w:val="20"/>
                <w:szCs w:val="20"/>
                <w:lang w:val="en-US" w:eastAsia="zh-CN"/>
              </w:rPr>
              <w:t>C</w:t>
            </w:r>
            <w:r>
              <w:rPr>
                <w:b/>
                <w:bCs/>
                <w:kern w:val="2"/>
                <w:sz w:val="20"/>
                <w:szCs w:val="20"/>
                <w:lang w:eastAsia="zh-CN"/>
              </w:rPr>
              <w:t>overage</w:t>
            </w:r>
          </w:p>
        </w:tc>
        <w:tc>
          <w:tcPr>
            <w:tcW w:w="1077" w:type="dxa"/>
            <w:vAlign w:val="center"/>
          </w:tcPr>
          <w:p>
            <w:pPr>
              <w:jc w:val="center"/>
              <w:rPr>
                <w:b/>
                <w:bCs/>
                <w:kern w:val="2"/>
                <w:sz w:val="20"/>
                <w:szCs w:val="20"/>
                <w:lang w:eastAsia="zh-CN"/>
              </w:rPr>
            </w:pPr>
            <w:r>
              <w:rPr>
                <w:b/>
                <w:bCs/>
                <w:kern w:val="2"/>
                <w:sz w:val="20"/>
                <w:szCs w:val="20"/>
                <w:lang w:eastAsia="zh-CN"/>
              </w:rPr>
              <w:t>Moving speed</w:t>
            </w:r>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007" w:type="dxa"/>
            <w:vAlign w:val="center"/>
          </w:tcPr>
          <w:p>
            <w:pPr>
              <w:jc w:val="center"/>
              <w:rPr>
                <w:kern w:val="2"/>
                <w:sz w:val="20"/>
                <w:szCs w:val="20"/>
              </w:rPr>
            </w:pPr>
            <w:r>
              <w:rPr>
                <w:rFonts w:hint="eastAsia"/>
                <w:kern w:val="2"/>
                <w:sz w:val="20"/>
                <w:szCs w:val="20"/>
                <w:lang w:val="en-US" w:eastAsia="zh-CN"/>
              </w:rPr>
              <w:t>0.1 - 2</w:t>
            </w:r>
          </w:p>
        </w:tc>
        <w:tc>
          <w:tcPr>
            <w:tcW w:w="1045"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955" w:type="dxa"/>
            <w:vAlign w:val="center"/>
          </w:tcPr>
          <w:p>
            <w:pPr>
              <w:jc w:val="center"/>
              <w:rPr>
                <w:rFonts w:hint="default"/>
                <w:kern w:val="2"/>
                <w:sz w:val="20"/>
                <w:szCs w:val="20"/>
                <w:lang w:val="en-US" w:eastAsia="zh-CN"/>
              </w:rPr>
            </w:pPr>
            <w:r>
              <w:rPr>
                <w:rFonts w:hint="eastAsia"/>
                <w:kern w:val="2"/>
                <w:sz w:val="20"/>
                <w:szCs w:val="20"/>
                <w:lang w:val="en-US" w:eastAsia="zh-CN"/>
              </w:rPr>
              <w:t>4-64</w:t>
            </w:r>
          </w:p>
        </w:tc>
        <w:tc>
          <w:tcPr>
            <w:tcW w:w="1104" w:type="dxa"/>
            <w:vAlign w:val="center"/>
          </w:tcPr>
          <w:p>
            <w:pPr>
              <w:jc w:val="center"/>
              <w:rPr>
                <w:rFonts w:hint="default"/>
                <w:kern w:val="2"/>
                <w:sz w:val="20"/>
                <w:szCs w:val="20"/>
                <w:lang w:val="en-US" w:eastAsia="zh-CN"/>
              </w:rPr>
            </w:pPr>
            <w:r>
              <w:rPr>
                <w:rFonts w:hint="eastAsia"/>
                <w:kern w:val="2"/>
                <w:sz w:val="20"/>
                <w:szCs w:val="20"/>
                <w:lang w:val="en-US" w:eastAsia="zh-CN"/>
              </w:rPr>
              <w:t>30</w:t>
            </w:r>
          </w:p>
        </w:tc>
        <w:tc>
          <w:tcPr>
            <w:tcW w:w="1432" w:type="dxa"/>
            <w:vAlign w:val="center"/>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
          <w:p>
            <w:pPr>
              <w:jc w:val="center"/>
              <w:rPr>
                <w:kern w:val="2"/>
                <w:sz w:val="20"/>
                <w:szCs w:val="20"/>
                <w:lang w:eastAsia="zh-CN"/>
              </w:rPr>
            </w:pPr>
            <w:r>
              <w:rPr>
                <w:rFonts w:hint="eastAsia"/>
                <w:kern w:val="2"/>
                <w:sz w:val="20"/>
                <w:szCs w:val="20"/>
                <w:lang w:eastAsia="zh-CN"/>
              </w:rPr>
              <w:t>9</w:t>
            </w:r>
            <w:r>
              <w:rPr>
                <w:kern w:val="2"/>
                <w:sz w:val="20"/>
                <w:szCs w:val="20"/>
                <w:lang w:eastAsia="zh-CN"/>
              </w:rPr>
              <w:t>9</w:t>
            </w:r>
          </w:p>
        </w:tc>
        <w:tc>
          <w:tcPr>
            <w:tcW w:w="1418" w:type="dxa"/>
            <w:vAlign w:val="center"/>
          </w:tcPr>
          <w:p>
            <w:pPr>
              <w:jc w:val="center"/>
              <w:rPr>
                <w:kern w:val="2"/>
                <w:sz w:val="20"/>
                <w:szCs w:val="20"/>
                <w:lang w:eastAsia="zh-CN"/>
              </w:rPr>
            </w:pPr>
            <w:r>
              <w:rPr>
                <w:kern w:val="2"/>
                <w:sz w:val="20"/>
                <w:szCs w:val="20"/>
                <w:lang w:eastAsia="zh-CN"/>
              </w:rPr>
              <w:t>Indoor, outdoor,</w:t>
            </w:r>
          </w:p>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val="en-US" w:eastAsia="zh-CN"/>
              </w:rPr>
              <w:t xml:space="preserve">Low-altitude,  </w:t>
            </w:r>
            <w:r>
              <w:rPr>
                <w:kern w:val="2"/>
                <w:sz w:val="20"/>
                <w:szCs w:val="20"/>
                <w:lang w:eastAsia="zh-CN"/>
              </w:rPr>
              <w:t>Underground</w:t>
            </w:r>
          </w:p>
        </w:tc>
        <w:tc>
          <w:tcPr>
            <w:tcW w:w="1077" w:type="dxa"/>
            <w:vAlign w:val="center"/>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007" w:type="dxa"/>
            <w:vAlign w:val="center"/>
          </w:tcPr>
          <w:p>
            <w:pPr>
              <w:jc w:val="center"/>
              <w:rPr>
                <w:rFonts w:hint="default"/>
                <w:kern w:val="2"/>
                <w:sz w:val="20"/>
                <w:szCs w:val="20"/>
                <w:lang w:val="en-US" w:eastAsia="zh-CN"/>
              </w:rPr>
            </w:pPr>
            <w:r>
              <w:rPr>
                <w:rFonts w:hint="eastAsia"/>
                <w:kern w:val="2"/>
                <w:sz w:val="20"/>
                <w:szCs w:val="20"/>
                <w:lang w:val="en-US" w:eastAsia="zh-CN"/>
              </w:rPr>
              <w:t>2 - 10</w:t>
            </w:r>
          </w:p>
        </w:tc>
        <w:tc>
          <w:tcPr>
            <w:tcW w:w="1045"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955" w:type="dxa"/>
            <w:vAlign w:val="center"/>
          </w:tcPr>
          <w:p>
            <w:pPr>
              <w:jc w:val="center"/>
              <w:rPr>
                <w:rFonts w:hint="default"/>
                <w:kern w:val="2"/>
                <w:sz w:val="20"/>
                <w:szCs w:val="20"/>
                <w:lang w:val="en-US" w:eastAsia="zh-CN"/>
              </w:rPr>
            </w:pPr>
            <w:r>
              <w:rPr>
                <w:rFonts w:hint="eastAsia"/>
                <w:kern w:val="2"/>
                <w:sz w:val="20"/>
                <w:szCs w:val="20"/>
                <w:lang w:val="en-US" w:eastAsia="zh-CN"/>
              </w:rPr>
              <w:t>4-64</w:t>
            </w:r>
          </w:p>
        </w:tc>
        <w:tc>
          <w:tcPr>
            <w:tcW w:w="1104" w:type="dxa"/>
            <w:vAlign w:val="center"/>
          </w:tcPr>
          <w:p>
            <w:pPr>
              <w:jc w:val="center"/>
              <w:rPr>
                <w:rFonts w:hint="default"/>
                <w:kern w:val="2"/>
                <w:sz w:val="20"/>
                <w:szCs w:val="20"/>
                <w:lang w:val="en-US" w:eastAsia="zh-CN"/>
              </w:rPr>
            </w:pPr>
            <w:r>
              <w:rPr>
                <w:rFonts w:hint="eastAsia"/>
                <w:kern w:val="2"/>
                <w:sz w:val="20"/>
                <w:szCs w:val="20"/>
                <w:lang w:val="en-US" w:eastAsia="zh-CN"/>
              </w:rPr>
              <w:t>10</w:t>
            </w:r>
          </w:p>
        </w:tc>
        <w:tc>
          <w:tcPr>
            <w:tcW w:w="1432" w:type="dxa"/>
            <w:vAlign w:val="center"/>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
          <w:p>
            <w:pPr>
              <w:jc w:val="center"/>
              <w:rPr>
                <w:rFonts w:hint="default"/>
                <w:kern w:val="2"/>
                <w:sz w:val="20"/>
                <w:szCs w:val="20"/>
                <w:lang w:val="en-US" w:eastAsia="zh-CN"/>
              </w:rPr>
            </w:pPr>
            <w:r>
              <w:rPr>
                <w:rFonts w:hint="eastAsia"/>
                <w:kern w:val="2"/>
                <w:sz w:val="20"/>
                <w:szCs w:val="20"/>
                <w:lang w:val="en-US" w:eastAsia="zh-CN"/>
              </w:rPr>
              <w:t>95</w:t>
            </w:r>
          </w:p>
        </w:tc>
        <w:tc>
          <w:tcPr>
            <w:tcW w:w="1418" w:type="dxa"/>
            <w:vAlign w:val="center"/>
          </w:tcPr>
          <w:p>
            <w:pPr>
              <w:jc w:val="center"/>
              <w:rPr>
                <w:kern w:val="2"/>
                <w:sz w:val="20"/>
                <w:szCs w:val="20"/>
                <w:lang w:eastAsia="zh-CN"/>
              </w:rPr>
            </w:pPr>
            <w:r>
              <w:rPr>
                <w:kern w:val="2"/>
                <w:sz w:val="20"/>
                <w:szCs w:val="20"/>
                <w:lang w:eastAsia="zh-CN"/>
              </w:rPr>
              <w:t>Indoor, outdoor,</w:t>
            </w:r>
          </w:p>
          <w:p>
            <w:pPr>
              <w:jc w:val="center"/>
              <w:rPr>
                <w:kern w:val="2"/>
                <w:sz w:val="20"/>
                <w:szCs w:val="20"/>
                <w:lang w:eastAsia="zh-CN"/>
              </w:rPr>
            </w:pPr>
            <w:r>
              <w:rPr>
                <w:rFonts w:hint="eastAsia"/>
                <w:kern w:val="2"/>
                <w:sz w:val="20"/>
                <w:szCs w:val="20"/>
                <w:lang w:val="en-US" w:eastAsia="zh-CN"/>
              </w:rPr>
              <w:t xml:space="preserve">Low-altitude, </w:t>
            </w:r>
            <w:r>
              <w:rPr>
                <w:kern w:val="2"/>
                <w:sz w:val="20"/>
                <w:szCs w:val="20"/>
                <w:lang w:eastAsia="zh-CN"/>
              </w:rPr>
              <w:t>Underground</w:t>
            </w:r>
          </w:p>
        </w:tc>
        <w:tc>
          <w:tcPr>
            <w:tcW w:w="1077" w:type="dxa"/>
            <w:vAlign w:val="center"/>
          </w:tcPr>
          <w:p>
            <w:pPr>
              <w:jc w:val="center"/>
              <w:rPr>
                <w:kern w:val="2"/>
                <w:sz w:val="20"/>
                <w:szCs w:val="20"/>
                <w:lang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8D61C1"/>
    <w:rsid w:val="139E4608"/>
    <w:rsid w:val="1B010C8D"/>
    <w:rsid w:val="1E861B69"/>
    <w:rsid w:val="23173E86"/>
    <w:rsid w:val="26273AA8"/>
    <w:rsid w:val="26B30BFC"/>
    <w:rsid w:val="27DC5884"/>
    <w:rsid w:val="28AA4853"/>
    <w:rsid w:val="2F8C02E1"/>
    <w:rsid w:val="301B321F"/>
    <w:rsid w:val="30762FD5"/>
    <w:rsid w:val="36086739"/>
    <w:rsid w:val="372B0AFC"/>
    <w:rsid w:val="37B93C18"/>
    <w:rsid w:val="3AEE0A51"/>
    <w:rsid w:val="3DFC229E"/>
    <w:rsid w:val="40126BDA"/>
    <w:rsid w:val="42683F76"/>
    <w:rsid w:val="434067B2"/>
    <w:rsid w:val="4E99793E"/>
    <w:rsid w:val="53D84F50"/>
    <w:rsid w:val="54B3621F"/>
    <w:rsid w:val="5953570F"/>
    <w:rsid w:val="60AF1FC8"/>
    <w:rsid w:val="627B25CE"/>
    <w:rsid w:val="66FD4474"/>
    <w:rsid w:val="68F93070"/>
    <w:rsid w:val="69B95BEF"/>
    <w:rsid w:val="69DD1C0E"/>
    <w:rsid w:val="6AFC49AB"/>
    <w:rsid w:val="6BF27CE6"/>
    <w:rsid w:val="6EEE3DE7"/>
    <w:rsid w:val="6F74700B"/>
    <w:rsid w:val="718D6231"/>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3</TotalTime>
  <ScaleCrop>false</ScaleCrop>
  <LinksUpToDate>false</LinksUpToDate>
  <CharactersWithSpaces>5042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王恒</cp:lastModifiedBy>
  <dcterms:modified xsi:type="dcterms:W3CDTF">2020-08-14T06:09:42Z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